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Override PartName="/word/numbering.xml" ContentType="application/vnd.openxmlformats-officedocument.wordprocessingml.numbering+xml"/>
  <Override PartName="/word/document.xml" ContentType="application/vnd.openxmlformats-officedocument.wordprocessingml.document.main+xml"/>
  <Override PartName="/word/header1.xml" ContentType="application/vnd.openxmlformats-officedocument.wordprocessingml.header+xml"/>
  <Override PartName="/word/_rels/document.xml.rels" ContentType="application/vnd.openxmlformats-package.relationships+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lineRule="auto" w:line="240" w:before="0" w:after="0"/>
        <w:jc w:val="center"/>
        <w:rPr/>
      </w:pPr>
      <w:r>
        <w:rPr>
          <w:rFonts w:cs="Times New Roman" w:ascii="Times New Roman" w:hAnsi="Times New Roman"/>
          <w:sz w:val="28"/>
          <w:szCs w:val="28"/>
        </w:rPr>
        <w:t>Информационное сообщение № 3</w:t>
      </w:r>
      <w:r>
        <w:rPr>
          <w:rFonts w:cs="Times New Roman" w:ascii="Times New Roman" w:hAnsi="Times New Roman"/>
          <w:sz w:val="28"/>
          <w:szCs w:val="28"/>
          <w:u w:val="single"/>
        </w:rPr>
        <w:t>-10 абт</w:t>
      </w:r>
    </w:p>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t xml:space="preserve">о продаже государственного имущества </w:t>
      </w:r>
    </w:p>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t>без  объявления цены</w:t>
      </w:r>
    </w:p>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bl>
      <w:tblPr>
        <w:tblStyle w:val="af0"/>
        <w:tblW w:w="9782" w:type="dxa"/>
        <w:jc w:val="left"/>
        <w:tblInd w:w="-318" w:type="dxa"/>
        <w:tblCellMar>
          <w:top w:w="0" w:type="dxa"/>
          <w:left w:w="108" w:type="dxa"/>
          <w:bottom w:w="0" w:type="dxa"/>
          <w:right w:w="108" w:type="dxa"/>
        </w:tblCellMar>
        <w:tblLook w:val="04a0" w:noVBand="1" w:noHBand="0" w:lastColumn="0" w:firstColumn="1" w:lastRow="0" w:firstRow="1"/>
      </w:tblPr>
      <w:tblGrid>
        <w:gridCol w:w="538"/>
        <w:gridCol w:w="3858"/>
        <w:gridCol w:w="5386"/>
      </w:tblGrid>
      <w:tr>
        <w:trPr>
          <w:tblHeader w:val="true"/>
        </w:trPr>
        <w:tc>
          <w:tcPr>
            <w:tcW w:w="538" w:type="dxa"/>
            <w:tcBorders/>
            <w:shd w:color="auto" w:fill="auto" w:val="clear"/>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п/п</w:t>
            </w:r>
          </w:p>
        </w:tc>
        <w:tc>
          <w:tcPr>
            <w:tcW w:w="3858" w:type="dxa"/>
            <w:tcBorders/>
            <w:shd w:color="auto" w:fill="auto" w:val="clear"/>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Наименование сведений</w:t>
            </w:r>
          </w:p>
        </w:tc>
        <w:tc>
          <w:tcPr>
            <w:tcW w:w="5386" w:type="dxa"/>
            <w:tcBorders/>
            <w:shd w:color="auto" w:fill="auto" w:val="clear"/>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Информация</w:t>
            </w:r>
          </w:p>
        </w:tc>
      </w:tr>
      <w:tr>
        <w:trPr/>
        <w:tc>
          <w:tcPr>
            <w:tcW w:w="538" w:type="dxa"/>
            <w:tcBorders/>
            <w:shd w:color="auto" w:fill="auto" w:val="clear"/>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1</w:t>
            </w:r>
          </w:p>
        </w:tc>
        <w:tc>
          <w:tcPr>
            <w:tcW w:w="3858" w:type="dxa"/>
            <w:tcBorders/>
            <w:shd w:color="auto"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Наименование государственного органа, принявшего решение об условиях приватизации имущества, реквизиты указанного решения</w:t>
            </w:r>
          </w:p>
        </w:tc>
        <w:tc>
          <w:tcPr>
            <w:tcW w:w="5386" w:type="dxa"/>
            <w:tcBorders/>
            <w:shd w:color="auto" w:fill="auto" w:val="clear"/>
          </w:tcPr>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Федеральная служба войск национальной гвардии Российской Федерации.</w:t>
            </w:r>
          </w:p>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Распоряжение от 27.11.2019 г. №1/838-Р.</w:t>
            </w:r>
          </w:p>
        </w:tc>
      </w:tr>
      <w:tr>
        <w:trPr/>
        <w:tc>
          <w:tcPr>
            <w:tcW w:w="538" w:type="dxa"/>
            <w:tcBorders/>
            <w:shd w:color="auto" w:fill="auto" w:val="clear"/>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2</w:t>
            </w:r>
          </w:p>
        </w:tc>
        <w:tc>
          <w:tcPr>
            <w:tcW w:w="3858" w:type="dxa"/>
            <w:tcBorders/>
            <w:shd w:color="auto"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Наименование имущества и иные позволяющие его индивидуализировать сведения (характеристика имущества)</w:t>
            </w:r>
          </w:p>
        </w:tc>
        <w:tc>
          <w:tcPr>
            <w:tcW w:w="5386" w:type="dxa"/>
            <w:tcBorders/>
            <w:shd w:color="auto" w:fill="auto" w:val="clear"/>
          </w:tcPr>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Движимое военное имущество (кроме вооружения и боеприпасов):</w:t>
            </w:r>
          </w:p>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 xml:space="preserve">а) </w:t>
            </w:r>
            <w:r>
              <w:rPr>
                <w:rFonts w:eastAsia="Calibri" w:cs="Times New Roman" w:ascii="Times New Roman" w:hAnsi="Times New Roman"/>
                <w:sz w:val="24"/>
                <w:szCs w:val="24"/>
              </w:rPr>
              <w:t>комплектующие и принадлежности для автотранспортных средств.</w:t>
            </w:r>
            <w:r>
              <w:rPr>
                <w:rFonts w:cs="Times New Roman" w:ascii="Times New Roman" w:hAnsi="Times New Roman"/>
                <w:sz w:val="24"/>
                <w:szCs w:val="24"/>
              </w:rPr>
              <w:t xml:space="preserve"> Перечень имущества указан в Приложении №1.</w:t>
            </w:r>
          </w:p>
        </w:tc>
      </w:tr>
      <w:tr>
        <w:trPr/>
        <w:tc>
          <w:tcPr>
            <w:tcW w:w="538" w:type="dxa"/>
            <w:tcBorders/>
            <w:shd w:color="auto" w:fill="auto" w:val="clear"/>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3</w:t>
            </w:r>
          </w:p>
        </w:tc>
        <w:tc>
          <w:tcPr>
            <w:tcW w:w="3858" w:type="dxa"/>
            <w:tcBorders/>
            <w:shd w:color="auto"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Способ приватизации имущества</w:t>
            </w:r>
          </w:p>
        </w:tc>
        <w:tc>
          <w:tcPr>
            <w:tcW w:w="5386" w:type="dxa"/>
            <w:tcBorders/>
            <w:shd w:color="auto" w:fill="auto" w:val="clear"/>
          </w:tcPr>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Продажа государственного имущества посредством публичного предложения в порядке, определенном постановлением Правительства РФ от 27 августа 2012 г. № 860 "Об организации и проведении продажи государственного или муниципального имущества в электронной форме".</w:t>
            </w:r>
          </w:p>
        </w:tc>
      </w:tr>
      <w:tr>
        <w:trPr>
          <w:trHeight w:val="672" w:hRule="atLeast"/>
        </w:trPr>
        <w:tc>
          <w:tcPr>
            <w:tcW w:w="538" w:type="dxa"/>
            <w:tcBorders/>
            <w:shd w:color="auto" w:fill="auto" w:val="clear"/>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4</w:t>
            </w:r>
          </w:p>
        </w:tc>
        <w:tc>
          <w:tcPr>
            <w:tcW w:w="3858" w:type="dxa"/>
            <w:tcBorders/>
            <w:shd w:color="auto"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Начальная цена продажи имущества</w:t>
            </w:r>
          </w:p>
        </w:tc>
        <w:tc>
          <w:tcPr>
            <w:tcW w:w="5386" w:type="dxa"/>
            <w:tcBorders/>
            <w:shd w:color="auto" w:fill="auto" w:val="clear"/>
          </w:tcPr>
          <w:p>
            <w:pPr>
              <w:pStyle w:val="Normal"/>
              <w:spacing w:lineRule="auto" w:line="240" w:before="0" w:after="0"/>
              <w:ind w:firstLine="318"/>
              <w:jc w:val="both"/>
              <w:rPr>
                <w:rFonts w:ascii="Times New Roman" w:hAnsi="Times New Roman" w:cs="Times New Roman"/>
                <w:b w:val="false"/>
                <w:b w:val="false"/>
                <w:bCs w:val="false"/>
                <w:sz w:val="24"/>
                <w:szCs w:val="24"/>
              </w:rPr>
            </w:pPr>
            <w:r>
              <w:rPr>
                <w:rFonts w:cs="Times New Roman" w:ascii="Times New Roman" w:hAnsi="Times New Roman"/>
                <w:b w:val="false"/>
                <w:bCs w:val="false"/>
                <w:color w:val="000000"/>
                <w:sz w:val="24"/>
                <w:szCs w:val="24"/>
              </w:rPr>
              <w:t>Не определяется</w:t>
            </w:r>
          </w:p>
        </w:tc>
      </w:tr>
      <w:tr>
        <w:trPr/>
        <w:tc>
          <w:tcPr>
            <w:tcW w:w="538" w:type="dxa"/>
            <w:tcBorders/>
            <w:shd w:color="auto" w:fill="auto" w:val="clear"/>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5</w:t>
            </w:r>
          </w:p>
        </w:tc>
        <w:tc>
          <w:tcPr>
            <w:tcW w:w="3858" w:type="dxa"/>
            <w:tcBorders/>
            <w:shd w:color="auto"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Условия и сроки платежа, необходимые реквизиты счетов</w:t>
            </w:r>
          </w:p>
        </w:tc>
        <w:tc>
          <w:tcPr>
            <w:tcW w:w="5386" w:type="dxa"/>
            <w:tcBorders/>
            <w:shd w:color="auto" w:fill="auto" w:val="clear"/>
          </w:tcPr>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Условия и сроки платежа, реквизиты для перечисления оплаты указаны в проекте договора купли-продажи (Приложение № 2).</w:t>
            </w:r>
          </w:p>
          <w:p>
            <w:pPr>
              <w:pStyle w:val="Normal"/>
              <w:spacing w:lineRule="auto" w:line="240" w:before="0" w:after="0"/>
              <w:ind w:firstLine="318"/>
              <w:jc w:val="both"/>
              <w:rPr>
                <w:rFonts w:ascii="Calibri" w:hAnsi="Calibri" w:eastAsia="Calibri" w:cs="" w:asciiTheme="minorHAnsi" w:cstheme="minorBidi" w:eastAsiaTheme="minorHAnsi" w:hAnsiTheme="minorHAnsi"/>
              </w:rPr>
            </w:pPr>
            <w:r>
              <w:rPr>
                <w:rFonts w:cs="Times New Roman" w:ascii="Times New Roman" w:hAnsi="Times New Roman"/>
                <w:sz w:val="24"/>
                <w:szCs w:val="24"/>
              </w:rPr>
              <w:t>Рекомендуемые формы заявки на участие в продаже высвобождаемого движимого военного имущества согласно Приложения 3, предложения о цене приобретаемого  высвобождаемого движимого военного имущества согласно Приложения 4</w:t>
            </w:r>
          </w:p>
        </w:tc>
      </w:tr>
      <w:tr>
        <w:trPr>
          <w:trHeight w:val="3280" w:hRule="atLeast"/>
        </w:trPr>
        <w:tc>
          <w:tcPr>
            <w:tcW w:w="538" w:type="dxa"/>
            <w:tcBorders/>
            <w:shd w:color="auto" w:fill="auto" w:val="clear"/>
          </w:tcPr>
          <w:p>
            <w:pPr>
              <w:pStyle w:val="Normal"/>
              <w:spacing w:lineRule="auto" w:line="240" w:before="0" w:after="0"/>
              <w:jc w:val="center"/>
              <w:rPr>
                <w:rFonts w:ascii="Times New Roman" w:hAnsi="Times New Roman" w:cs="Times New Roman"/>
                <w:color w:val="000000" w:themeColor="text1"/>
                <w:sz w:val="24"/>
                <w:szCs w:val="24"/>
              </w:rPr>
            </w:pPr>
            <w:r>
              <w:rPr>
                <w:rFonts w:cs="Times New Roman" w:ascii="Times New Roman" w:hAnsi="Times New Roman"/>
                <w:color w:val="000000" w:themeColor="text1"/>
                <w:sz w:val="24"/>
                <w:szCs w:val="24"/>
              </w:rPr>
              <w:t>6</w:t>
            </w:r>
          </w:p>
        </w:tc>
        <w:tc>
          <w:tcPr>
            <w:tcW w:w="3858" w:type="dxa"/>
            <w:tcBorders/>
            <w:shd w:color="auto"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Порядок, место, даты начала и окончания подачи заявок на участие в продаже, дата определения участников продажи</w:t>
            </w:r>
          </w:p>
        </w:tc>
        <w:tc>
          <w:tcPr>
            <w:tcW w:w="5386" w:type="dxa"/>
            <w:tcBorders/>
            <w:shd w:color="auto" w:fill="auto" w:val="clear"/>
          </w:tcPr>
          <w:p>
            <w:pPr>
              <w:pStyle w:val="Normal"/>
              <w:shd w:val="clear" w:color="auto" w:fill="FFFFFF" w:themeFill="background1"/>
              <w:spacing w:lineRule="auto" w:line="240" w:before="0" w:after="0"/>
              <w:ind w:firstLine="318"/>
              <w:jc w:val="both"/>
              <w:rPr>
                <w:rFonts w:ascii="Times New Roman" w:hAnsi="Times New Roman" w:cs="Times New Roman"/>
                <w:b/>
                <w:b/>
                <w:sz w:val="24"/>
                <w:szCs w:val="24"/>
              </w:rPr>
            </w:pPr>
            <w:r>
              <w:rPr>
                <w:rFonts w:cs="Times New Roman" w:ascii="Times New Roman" w:hAnsi="Times New Roman"/>
                <w:sz w:val="24"/>
                <w:szCs w:val="24"/>
              </w:rPr>
              <w:t xml:space="preserve">Дата начала подачи заявок: </w:t>
            </w:r>
            <w:r>
              <w:rPr>
                <w:rFonts w:cs="Times New Roman" w:ascii="Times New Roman" w:hAnsi="Times New Roman"/>
                <w:b/>
                <w:sz w:val="24"/>
                <w:szCs w:val="24"/>
              </w:rPr>
              <w:t xml:space="preserve">10 ч 00 мин </w:t>
            </w:r>
            <w:r>
              <w:rPr>
                <w:rFonts w:eastAsia="Calibri" w:cs="Times New Roman" w:ascii="Times New Roman" w:hAnsi="Times New Roman" w:eastAsiaTheme="minorHAnsi"/>
                <w:b/>
                <w:color w:val="auto"/>
                <w:kern w:val="0"/>
                <w:sz w:val="24"/>
                <w:szCs w:val="24"/>
                <w:lang w:val="ru-RU" w:eastAsia="en-US" w:bidi="ar-SA"/>
              </w:rPr>
              <w:t>12</w:t>
            </w:r>
            <w:r>
              <w:rPr>
                <w:rFonts w:cs="Times New Roman" w:ascii="Times New Roman" w:hAnsi="Times New Roman"/>
                <w:b/>
                <w:sz w:val="24"/>
                <w:szCs w:val="24"/>
              </w:rPr>
              <w:t>.10.2021 г. (время московское).</w:t>
            </w:r>
          </w:p>
          <w:p>
            <w:pPr>
              <w:pStyle w:val="Normal"/>
              <w:shd w:val="clear" w:color="auto" w:fill="FFFFFF" w:themeFill="background1"/>
              <w:spacing w:lineRule="auto" w:line="240" w:before="0" w:after="0"/>
              <w:ind w:firstLine="318"/>
              <w:jc w:val="both"/>
              <w:rPr>
                <w:rFonts w:ascii="Times New Roman" w:hAnsi="Times New Roman" w:cs="Times New Roman"/>
                <w:b/>
                <w:b/>
                <w:sz w:val="24"/>
                <w:szCs w:val="24"/>
              </w:rPr>
            </w:pPr>
            <w:r>
              <w:rPr>
                <w:rFonts w:cs="Times New Roman" w:ascii="Times New Roman" w:hAnsi="Times New Roman"/>
                <w:sz w:val="24"/>
                <w:szCs w:val="24"/>
              </w:rPr>
              <w:t xml:space="preserve">Дата окончания подачи заявок: </w:t>
            </w:r>
            <w:r>
              <w:rPr>
                <w:rFonts w:cs="Times New Roman" w:ascii="Times New Roman" w:hAnsi="Times New Roman"/>
                <w:b/>
                <w:sz w:val="24"/>
                <w:szCs w:val="24"/>
              </w:rPr>
              <w:t xml:space="preserve">10 ч 00 мин 08.11.2021 г. </w:t>
            </w:r>
          </w:p>
          <w:p>
            <w:pPr>
              <w:pStyle w:val="Normal"/>
              <w:shd w:val="clear" w:color="auto" w:fill="FFFFFF" w:themeFill="background1"/>
              <w:spacing w:lineRule="auto" w:line="240" w:before="0" w:after="0"/>
              <w:ind w:firstLine="318"/>
              <w:jc w:val="both"/>
              <w:rPr>
                <w:rFonts w:ascii="Times New Roman" w:hAnsi="Times New Roman" w:cs="Times New Roman"/>
                <w:sz w:val="24"/>
                <w:szCs w:val="24"/>
              </w:rPr>
            </w:pPr>
            <w:r>
              <w:rPr>
                <w:rFonts w:cs="Times New Roman" w:ascii="Times New Roman" w:hAnsi="Times New Roman"/>
                <w:b/>
                <w:sz w:val="24"/>
                <w:szCs w:val="24"/>
              </w:rPr>
              <w:t xml:space="preserve">Место подачи заявок и предложений: </w:t>
            </w:r>
            <w:r>
              <w:rPr>
                <w:rFonts w:cs="Times New Roman" w:ascii="Times New Roman" w:hAnsi="Times New Roman"/>
                <w:sz w:val="24"/>
                <w:szCs w:val="24"/>
              </w:rPr>
              <w:t>Электронная Торговая Площадка Группы Газпромбанка.</w:t>
            </w:r>
          </w:p>
          <w:p>
            <w:pPr>
              <w:pStyle w:val="ConsPlusNormal"/>
              <w:spacing w:lineRule="auto" w:line="240" w:before="0" w:after="0"/>
              <w:ind w:firstLine="540"/>
              <w:jc w:val="both"/>
              <w:rPr>
                <w:rFonts w:ascii="Times New Roman" w:hAnsi="Times New Roman" w:cs="Times New Roman"/>
                <w:sz w:val="24"/>
                <w:szCs w:val="24"/>
              </w:rPr>
            </w:pPr>
            <w:r>
              <w:rPr>
                <w:rFonts w:cs="Times New Roman" w:ascii="Times New Roman" w:hAnsi="Times New Roman"/>
                <w:sz w:val="24"/>
                <w:szCs w:val="24"/>
              </w:rPr>
              <w:t>Для участия в продаже имущества без объявления цены претенденты заполняют размещенную в открытой части электронной площадки форму заявки с приложением электронных документов в соответствии с перечнем, приведенным в информационном сообщении о проведении продажи имущества без объявления цены, а также направляют свои предложения о цене имущества.</w:t>
            </w:r>
          </w:p>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 xml:space="preserve">Предложение о цене имущества подается в форме отдельного электронного документа, которому оператор электронной площадки обеспечивает дополнительную степень защиты от несанкционированного просмотра. </w:t>
            </w:r>
          </w:p>
          <w:p>
            <w:pPr>
              <w:pStyle w:val="ConsPlusNormal"/>
              <w:ind w:firstLine="540"/>
              <w:jc w:val="both"/>
              <w:rPr>
                <w:rFonts w:ascii="Times New Roman" w:hAnsi="Times New Roman" w:cs="Times New Roman"/>
                <w:sz w:val="24"/>
                <w:szCs w:val="24"/>
              </w:rPr>
            </w:pPr>
            <w:r>
              <w:rPr>
                <w:rFonts w:cs="Times New Roman" w:ascii="Times New Roman" w:hAnsi="Times New Roman"/>
                <w:sz w:val="24"/>
                <w:szCs w:val="24"/>
              </w:rPr>
              <w:t>Претендент не вправе отозвать зарегистрированную заявку. Претендент вправе подать только одно предложение по цене имущества, которое не может быть изменено.</w:t>
            </w:r>
          </w:p>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Зарегистрированная заявка является поступившим продавцу предложением (офертой) претендента, выражающим его намерение считать себя лицом, заключившим с продавцом договор купли-продажи имущества по предлагаемой претендентом цене имущества.</w:t>
            </w:r>
          </w:p>
          <w:p>
            <w:pPr>
              <w:pStyle w:val="Normal"/>
              <w:spacing w:lineRule="auto" w:line="240" w:before="0" w:after="0"/>
              <w:ind w:firstLine="318"/>
              <w:jc w:val="both"/>
              <w:rPr>
                <w:b w:val="false"/>
                <w:b w:val="false"/>
                <w:bCs w:val="false"/>
              </w:rPr>
            </w:pPr>
            <w:r>
              <w:rPr>
                <w:rFonts w:cs="Times New Roman" w:ascii="Times New Roman" w:hAnsi="Times New Roman"/>
                <w:b w:val="false"/>
                <w:bCs w:val="false"/>
                <w:sz w:val="24"/>
                <w:szCs w:val="24"/>
              </w:rPr>
              <w:t>Порядок регистрации на ЭТП и правила проведения продажи– в соответствии с порядком установленным постановлением Правительства РФ от 27 августа 2012 г. № 860.</w:t>
            </w:r>
          </w:p>
        </w:tc>
      </w:tr>
      <w:tr>
        <w:trPr/>
        <w:tc>
          <w:tcPr>
            <w:tcW w:w="538" w:type="dxa"/>
            <w:tcBorders/>
            <w:shd w:color="auto" w:fill="auto" w:val="clear"/>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7</w:t>
            </w:r>
          </w:p>
        </w:tc>
        <w:tc>
          <w:tcPr>
            <w:tcW w:w="3858" w:type="dxa"/>
            <w:tcBorders/>
            <w:shd w:color="auto"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Исчерпывающий перечень представляемых участниками торгов документов и требования к их оформлению</w:t>
            </w:r>
          </w:p>
        </w:tc>
        <w:tc>
          <w:tcPr>
            <w:tcW w:w="5386" w:type="dxa"/>
            <w:tcBorders/>
            <w:shd w:color="auto" w:fill="auto" w:val="clear"/>
          </w:tcPr>
          <w:p>
            <w:pPr>
              <w:pStyle w:val="Normal"/>
              <w:spacing w:lineRule="auto" w:line="240" w:before="0" w:after="0"/>
              <w:ind w:firstLine="318"/>
              <w:jc w:val="both"/>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Одновременно с заявкой (по форме ЭТП, а для прикрепления в виде электронного документа – по форме указанной в Приложении № 3) претенденты представляют  следующие документы в форме электронных документов (документов оформленных на бумажном носителе, переведенных в электронно-цифровую форму путем сканирования с сохранением их реквизитов), путем размещения на торговой площадке:</w:t>
            </w:r>
          </w:p>
          <w:p>
            <w:pPr>
              <w:pStyle w:val="Normal"/>
              <w:spacing w:lineRule="auto" w:line="240" w:before="0" w:after="0"/>
              <w:ind w:firstLine="318"/>
              <w:jc w:val="both"/>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1. Юридические лица:</w:t>
            </w:r>
          </w:p>
          <w:p>
            <w:pPr>
              <w:pStyle w:val="Normal"/>
              <w:spacing w:lineRule="auto" w:line="240" w:before="0" w:after="0"/>
              <w:ind w:firstLine="318"/>
              <w:jc w:val="both"/>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заверенные копии учредительных документов;</w:t>
            </w:r>
          </w:p>
          <w:p>
            <w:pPr>
              <w:pStyle w:val="Normal"/>
              <w:spacing w:lineRule="auto" w:line="240" w:before="0" w:after="0"/>
              <w:ind w:firstLine="318"/>
              <w:jc w:val="both"/>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(реестр владельцев акций либо выписка из него или заверенное печатью юридического лица (при наличии печати) и подписанное его руководителем письмо);</w:t>
            </w:r>
          </w:p>
          <w:p>
            <w:pPr>
              <w:pStyle w:val="Normal"/>
              <w:spacing w:lineRule="auto" w:line="240" w:before="0" w:after="0"/>
              <w:ind w:firstLine="318"/>
              <w:jc w:val="both"/>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документ, который подтверждает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p>
          <w:p>
            <w:pPr>
              <w:pStyle w:val="Normal"/>
              <w:spacing w:lineRule="auto" w:line="240" w:before="0" w:after="0"/>
              <w:ind w:firstLine="318"/>
              <w:jc w:val="both"/>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2. Физические лица представляют копии всех листов документа, удостоверяющий личность.</w:t>
            </w:r>
          </w:p>
          <w:p>
            <w:pPr>
              <w:pStyle w:val="Normal"/>
              <w:spacing w:lineRule="auto" w:line="240" w:before="0" w:after="0"/>
              <w:ind w:firstLine="318"/>
              <w:jc w:val="both"/>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xml:space="preserve">В случае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При этом предоставляются копии всех листов документа, удостоверяющий личность доверенного лица. </w:t>
            </w:r>
          </w:p>
          <w:p>
            <w:pPr>
              <w:pStyle w:val="Normal"/>
              <w:spacing w:lineRule="auto" w:line="240" w:before="0" w:after="0"/>
              <w:ind w:firstLine="318"/>
              <w:jc w:val="both"/>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В случае,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 При этом предоставляются копии всех листов документа, удостоверяющего личность доверенного лица.</w:t>
            </w:r>
          </w:p>
        </w:tc>
      </w:tr>
      <w:tr>
        <w:trPr/>
        <w:tc>
          <w:tcPr>
            <w:tcW w:w="538" w:type="dxa"/>
            <w:tcBorders/>
            <w:shd w:color="auto" w:fill="auto" w:val="clear"/>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8</w:t>
            </w:r>
          </w:p>
        </w:tc>
        <w:tc>
          <w:tcPr>
            <w:tcW w:w="3858" w:type="dxa"/>
            <w:tcBorders/>
            <w:shd w:color="auto"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 xml:space="preserve">Основания для отказа претенденту участвовать </w:t>
            </w:r>
          </w:p>
        </w:tc>
        <w:tc>
          <w:tcPr>
            <w:tcW w:w="5386" w:type="dxa"/>
            <w:tcBorders/>
            <w:shd w:color="auto" w:fill="auto" w:val="clear"/>
          </w:tcPr>
          <w:p>
            <w:pPr>
              <w:pStyle w:val="ListParagraph"/>
              <w:spacing w:lineRule="auto" w:line="240" w:before="0" w:after="0"/>
              <w:ind w:left="34" w:firstLine="318"/>
              <w:contextualSpacing/>
              <w:jc w:val="both"/>
              <w:rPr>
                <w:rFonts w:ascii="Calibri" w:hAnsi="Calibri" w:eastAsia="Calibri" w:cs="" w:asciiTheme="minorHAnsi" w:cstheme="minorBidi" w:eastAsiaTheme="minorHAnsi" w:hAnsiTheme="minorHAnsi"/>
              </w:rPr>
            </w:pPr>
            <w:r>
              <w:rPr>
                <w:rFonts w:cs="Times New Roman" w:ascii="Times New Roman" w:hAnsi="Times New Roman"/>
                <w:sz w:val="24"/>
                <w:szCs w:val="24"/>
              </w:rPr>
              <w:t>В соответствии с п.112 Постановлением Правительства РФ от 27 августа 2012 г. № 860 "Об организации и проведении продажи государственного или муниципального имущества в электронной форме".</w:t>
            </w:r>
          </w:p>
        </w:tc>
      </w:tr>
      <w:tr>
        <w:trPr/>
        <w:tc>
          <w:tcPr>
            <w:tcW w:w="538" w:type="dxa"/>
            <w:tcBorders/>
            <w:shd w:color="auto" w:fill="auto" w:val="clear"/>
          </w:tcPr>
          <w:p>
            <w:pPr>
              <w:pStyle w:val="Normal"/>
              <w:spacing w:lineRule="auto" w:line="240" w:before="0" w:after="0"/>
              <w:jc w:val="center"/>
              <w:rPr>
                <w:rFonts w:ascii="Times New Roman" w:hAnsi="Times New Roman" w:eastAsia="Calibri" w:cs="Times New Roman" w:eastAsiaTheme="minorHAnsi"/>
                <w:color w:val="auto"/>
                <w:kern w:val="0"/>
                <w:sz w:val="24"/>
                <w:szCs w:val="24"/>
                <w:lang w:val="ru-RU" w:eastAsia="en-US" w:bidi="ar-SA"/>
              </w:rPr>
            </w:pPr>
            <w:r>
              <w:rPr>
                <w:rFonts w:eastAsia="Calibri" w:cs="Times New Roman" w:ascii="Times New Roman" w:hAnsi="Times New Roman" w:eastAsiaTheme="minorHAnsi"/>
                <w:color w:val="auto"/>
                <w:kern w:val="0"/>
                <w:sz w:val="24"/>
                <w:szCs w:val="24"/>
                <w:lang w:val="ru-RU" w:eastAsia="en-US" w:bidi="ar-SA"/>
              </w:rPr>
              <w:t>9</w:t>
            </w:r>
          </w:p>
        </w:tc>
        <w:tc>
          <w:tcPr>
            <w:tcW w:w="3858" w:type="dxa"/>
            <w:tcBorders/>
            <w:shd w:color="auto"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Срок заключения договора купли-продажи имущества</w:t>
            </w:r>
          </w:p>
        </w:tc>
        <w:tc>
          <w:tcPr>
            <w:tcW w:w="5386" w:type="dxa"/>
            <w:tcBorders/>
            <w:shd w:color="auto" w:fill="auto" w:val="clear"/>
          </w:tcPr>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В течении 5 рабочих дней с даты подведения итогов продажи.</w:t>
            </w:r>
          </w:p>
        </w:tc>
      </w:tr>
      <w:tr>
        <w:trPr/>
        <w:tc>
          <w:tcPr>
            <w:tcW w:w="538" w:type="dxa"/>
            <w:tcBorders/>
            <w:shd w:color="auto" w:fill="auto" w:val="clear"/>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10</w:t>
            </w:r>
          </w:p>
        </w:tc>
        <w:tc>
          <w:tcPr>
            <w:tcW w:w="3858" w:type="dxa"/>
            <w:tcBorders/>
            <w:shd w:color="auto"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Порядок ознакомления покупателей с иной информацией, условиями договора купли-продажи имущества</w:t>
            </w:r>
          </w:p>
        </w:tc>
        <w:tc>
          <w:tcPr>
            <w:tcW w:w="5386" w:type="dxa"/>
            <w:tcBorders/>
            <w:shd w:color="auto" w:fill="auto" w:val="clear"/>
          </w:tcPr>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Участники закупки вправе направить запрос по интересующей дополнительной информации через электронную площадку.</w:t>
            </w:r>
          </w:p>
        </w:tc>
      </w:tr>
      <w:tr>
        <w:trPr/>
        <w:tc>
          <w:tcPr>
            <w:tcW w:w="538" w:type="dxa"/>
            <w:tcBorders/>
            <w:shd w:color="auto" w:fill="auto" w:val="clear"/>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11</w:t>
            </w:r>
          </w:p>
        </w:tc>
        <w:tc>
          <w:tcPr>
            <w:tcW w:w="3858" w:type="dxa"/>
            <w:tcBorders/>
            <w:shd w:color="auto"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Ограничения участия отдельных категорий физических лиц и юридических лиц в приватизации имущества</w:t>
            </w:r>
          </w:p>
        </w:tc>
        <w:tc>
          <w:tcPr>
            <w:tcW w:w="5386" w:type="dxa"/>
            <w:tcBorders/>
            <w:shd w:color="auto" w:fill="auto" w:val="clear"/>
          </w:tcPr>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В соответствии со статьей 5  Федерального закона от 21.12.2001г. № 178-ФЗ «О приватизации государственного и муниципального имущества».</w:t>
            </w:r>
          </w:p>
        </w:tc>
      </w:tr>
      <w:tr>
        <w:trPr/>
        <w:tc>
          <w:tcPr>
            <w:tcW w:w="538" w:type="dxa"/>
            <w:tcBorders/>
            <w:shd w:color="auto" w:fill="auto" w:val="clear"/>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12</w:t>
            </w:r>
          </w:p>
        </w:tc>
        <w:tc>
          <w:tcPr>
            <w:tcW w:w="3858" w:type="dxa"/>
            <w:tcBorders/>
            <w:shd w:color="auto"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Порядок определения победителей при проведении продажи</w:t>
            </w:r>
          </w:p>
        </w:tc>
        <w:tc>
          <w:tcPr>
            <w:tcW w:w="5386" w:type="dxa"/>
            <w:tcBorders/>
            <w:shd w:color="auto" w:fill="auto" w:val="clear"/>
          </w:tcPr>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Победитель продажи определяется в порядке, определенном Постановлением Правительства РФ от 27 августа 2012 г. № 860 "Об организации и проведении продажи государственного или муниципального имущества в электронной форме".</w:t>
            </w:r>
          </w:p>
        </w:tc>
      </w:tr>
      <w:tr>
        <w:trPr/>
        <w:tc>
          <w:tcPr>
            <w:tcW w:w="538" w:type="dxa"/>
            <w:tcBorders/>
            <w:shd w:color="auto" w:fill="auto" w:val="clear"/>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13</w:t>
            </w:r>
          </w:p>
        </w:tc>
        <w:tc>
          <w:tcPr>
            <w:tcW w:w="3858" w:type="dxa"/>
            <w:tcBorders/>
            <w:shd w:color="auto"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Место и срок проведения продажи государственного имущества. Подведение итогов продажи.</w:t>
            </w:r>
          </w:p>
        </w:tc>
        <w:tc>
          <w:tcPr>
            <w:tcW w:w="5386" w:type="dxa"/>
            <w:tcBorders/>
            <w:shd w:color="auto" w:fill="auto" w:val="clear"/>
          </w:tcPr>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Место проведения продажи: электронная площадка Электронная Торговая Площадка Группы Газпромбанка.</w:t>
            </w:r>
          </w:p>
          <w:p>
            <w:pPr>
              <w:pStyle w:val="Normal"/>
              <w:spacing w:lineRule="auto" w:line="240" w:before="0" w:after="0"/>
              <w:ind w:firstLine="318"/>
              <w:jc w:val="both"/>
              <w:rPr>
                <w:rFonts w:ascii="Times New Roman" w:hAnsi="Times New Roman" w:cs="Times New Roman"/>
                <w:b/>
                <w:b/>
                <w:sz w:val="24"/>
                <w:szCs w:val="24"/>
              </w:rPr>
            </w:pPr>
            <w:r>
              <w:rPr>
                <w:rFonts w:cs="Times New Roman" w:ascii="Times New Roman" w:hAnsi="Times New Roman"/>
                <w:b/>
                <w:sz w:val="24"/>
                <w:szCs w:val="24"/>
              </w:rPr>
              <w:t>Подведение итогов продажи: 10.11.2021 г.</w:t>
            </w:r>
          </w:p>
        </w:tc>
      </w:tr>
      <w:tr>
        <w:trPr/>
        <w:tc>
          <w:tcPr>
            <w:tcW w:w="538" w:type="dxa"/>
            <w:tcBorders/>
            <w:shd w:color="auto" w:fill="auto" w:val="clear"/>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14</w:t>
            </w:r>
          </w:p>
        </w:tc>
        <w:tc>
          <w:tcPr>
            <w:tcW w:w="3858" w:type="dxa"/>
            <w:tcBorders/>
            <w:shd w:color="auto"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Размер и порядок вознаграждения продавца</w:t>
            </w:r>
          </w:p>
        </w:tc>
        <w:tc>
          <w:tcPr>
            <w:tcW w:w="5386" w:type="dxa"/>
            <w:tcBorders/>
            <w:shd w:color="auto" w:fill="auto" w:val="clear"/>
          </w:tcPr>
          <w:p>
            <w:pPr>
              <w:pStyle w:val="Normal"/>
              <w:spacing w:lineRule="auto" w:line="240" w:before="0" w:after="0"/>
              <w:ind w:firstLine="318"/>
              <w:jc w:val="both"/>
              <w:rPr>
                <w:rFonts w:ascii="Times New Roman" w:hAnsi="Times New Roman" w:cs="Times New Roman"/>
                <w:sz w:val="24"/>
                <w:szCs w:val="24"/>
                <w:highlight w:val="cyan"/>
              </w:rPr>
            </w:pPr>
            <w:r>
              <w:rPr>
                <w:rFonts w:cs="Times New Roman" w:ascii="Times New Roman" w:hAnsi="Times New Roman"/>
                <w:sz w:val="24"/>
                <w:szCs w:val="24"/>
              </w:rPr>
              <w:t>Вознаграждение не предусмотрено.</w:t>
            </w:r>
          </w:p>
        </w:tc>
      </w:tr>
      <w:tr>
        <w:trPr/>
        <w:tc>
          <w:tcPr>
            <w:tcW w:w="538" w:type="dxa"/>
            <w:tcBorders/>
            <w:shd w:color="auto" w:fill="auto" w:val="clear"/>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15</w:t>
            </w:r>
          </w:p>
        </w:tc>
        <w:tc>
          <w:tcPr>
            <w:tcW w:w="3858" w:type="dxa"/>
            <w:tcBorders/>
            <w:shd w:color="auto"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Сведения обо всех предыдущих торгах по продаже имущества, объявленных в течение года, предшествующего его продаже, и об итогах торгов по продаже имущества</w:t>
            </w:r>
          </w:p>
        </w:tc>
        <w:tc>
          <w:tcPr>
            <w:tcW w:w="5386" w:type="dxa"/>
            <w:tcBorders/>
            <w:shd w:color="auto" w:fill="auto" w:val="clear"/>
          </w:tcPr>
          <w:p>
            <w:pPr>
              <w:pStyle w:val="Normal"/>
              <w:spacing w:lineRule="auto" w:line="240" w:before="0" w:after="0"/>
              <w:ind w:firstLine="318"/>
              <w:jc w:val="both"/>
              <w:rPr/>
            </w:pPr>
            <w:r>
              <w:rPr>
                <w:rFonts w:cs="Times New Roman" w:ascii="Times New Roman" w:hAnsi="Times New Roman"/>
                <w:sz w:val="24"/>
                <w:szCs w:val="24"/>
              </w:rPr>
              <w:t>Указанное в Приложении №1 имущество выставлялось на</w:t>
            </w:r>
            <w:r>
              <w:rPr>
                <w:rFonts w:cs="Times New Roman" w:ascii="Times New Roman" w:hAnsi="Times New Roman"/>
                <w:color w:val="000000"/>
                <w:sz w:val="24"/>
                <w:szCs w:val="24"/>
              </w:rPr>
              <w:t xml:space="preserve"> продажу путем проведения аукциона. Аукцион (изв. № </w:t>
            </w:r>
            <w:r>
              <w:rPr>
                <w:rFonts w:eastAsia="Calibri" w:cs="Times New Roman" w:ascii="Times New Roman" w:hAnsi="Times New Roman"/>
                <w:color w:val="000000"/>
                <w:sz w:val="24"/>
                <w:szCs w:val="24"/>
              </w:rPr>
              <w:t>090621/30312911/02</w:t>
            </w:r>
            <w:r>
              <w:rPr>
                <w:rFonts w:cs="Times New Roman" w:ascii="Times New Roman" w:hAnsi="Times New Roman"/>
                <w:color w:val="000000"/>
                <w:sz w:val="24"/>
                <w:szCs w:val="24"/>
              </w:rPr>
              <w:t>, № ГП</w:t>
            </w:r>
            <w:r>
              <w:rPr>
                <w:rFonts w:eastAsia="Calibri" w:cs="Times New Roman" w:ascii="Times New Roman" w:hAnsi="Times New Roman"/>
                <w:color w:val="000000"/>
                <w:sz w:val="24"/>
                <w:szCs w:val="24"/>
              </w:rPr>
              <w:t>1189</w:t>
            </w:r>
            <w:r>
              <w:rPr>
                <w:rFonts w:eastAsia="Calibri" w:cs="Times New Roman" w:ascii="Times New Roman" w:hAnsi="Times New Roman"/>
                <w:color w:val="000000"/>
                <w:kern w:val="0"/>
                <w:sz w:val="24"/>
                <w:szCs w:val="24"/>
                <w:lang w:val="ru-RU" w:eastAsia="en-US" w:bidi="ar-SA"/>
              </w:rPr>
              <w:t>93</w:t>
            </w:r>
            <w:r>
              <w:rPr>
                <w:rFonts w:cs="Times New Roman" w:ascii="Times New Roman" w:hAnsi="Times New Roman"/>
                <w:color w:val="000000"/>
                <w:sz w:val="24"/>
                <w:szCs w:val="24"/>
              </w:rPr>
              <w:t xml:space="preserve">) признан несостоявшимся. </w:t>
            </w:r>
          </w:p>
          <w:p>
            <w:pPr>
              <w:pStyle w:val="Normal"/>
              <w:spacing w:lineRule="auto" w:line="240" w:before="0" w:after="0"/>
              <w:ind w:firstLine="318"/>
              <w:jc w:val="both"/>
              <w:rPr/>
            </w:pPr>
            <w:bookmarkStart w:id="0" w:name="_GoBack"/>
            <w:bookmarkEnd w:id="0"/>
            <w:r>
              <w:rPr>
                <w:rFonts w:cs="Times New Roman" w:ascii="Times New Roman" w:hAnsi="Times New Roman"/>
                <w:color w:val="000000"/>
                <w:sz w:val="24"/>
                <w:szCs w:val="24"/>
              </w:rPr>
              <w:t xml:space="preserve">Продажа посредством публичного предложения  (изв. № </w:t>
            </w:r>
            <w:r>
              <w:rPr>
                <w:rFonts w:eastAsia="Calibri" w:cs="Times New Roman" w:ascii="Times New Roman" w:hAnsi="Times New Roman" w:eastAsiaTheme="minorHAnsi"/>
                <w:color w:val="000000"/>
                <w:kern w:val="0"/>
                <w:sz w:val="24"/>
                <w:szCs w:val="24"/>
                <w:lang w:val="ru-RU" w:eastAsia="en-US" w:bidi="ar-SA"/>
              </w:rPr>
              <w:t>090821</w:t>
            </w:r>
            <w:r>
              <w:rPr>
                <w:rFonts w:cs="Times New Roman" w:ascii="Times New Roman" w:hAnsi="Times New Roman"/>
                <w:color w:val="000000"/>
                <w:sz w:val="24"/>
                <w:szCs w:val="24"/>
              </w:rPr>
              <w:t>/30312911/02, ГП</w:t>
            </w:r>
            <w:r>
              <w:rPr>
                <w:rFonts w:eastAsia="Calibri" w:cs="Times New Roman" w:ascii="Times New Roman" w:hAnsi="Times New Roman" w:eastAsiaTheme="minorHAnsi"/>
                <w:color w:val="000000"/>
                <w:kern w:val="0"/>
                <w:sz w:val="24"/>
                <w:szCs w:val="24"/>
                <w:lang w:val="ru-RU" w:eastAsia="en-US" w:bidi="ar-SA"/>
              </w:rPr>
              <w:t>120707</w:t>
            </w:r>
            <w:r>
              <w:rPr>
                <w:rFonts w:cs="Times New Roman" w:ascii="Times New Roman" w:hAnsi="Times New Roman"/>
                <w:color w:val="000000"/>
                <w:sz w:val="24"/>
                <w:szCs w:val="24"/>
              </w:rPr>
              <w:t>) признана несостоявшейся.</w:t>
            </w:r>
          </w:p>
        </w:tc>
      </w:tr>
    </w:tbl>
    <w:p>
      <w:pPr>
        <w:pStyle w:val="Normal"/>
        <w:spacing w:lineRule="auto" w:line="240" w:before="0" w:after="0"/>
        <w:ind w:left="-426" w:firstLine="709"/>
        <w:jc w:val="both"/>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426" w:firstLine="709"/>
        <w:jc w:val="both"/>
        <w:rPr>
          <w:rFonts w:ascii="Times New Roman" w:hAnsi="Times New Roman" w:cs="Times New Roman"/>
          <w:sz w:val="24"/>
          <w:szCs w:val="24"/>
        </w:rPr>
      </w:pPr>
      <w:r>
        <w:rPr>
          <w:rFonts w:cs="Times New Roman" w:ascii="Times New Roman" w:hAnsi="Times New Roman"/>
          <w:sz w:val="24"/>
          <w:szCs w:val="24"/>
        </w:rPr>
        <w:t>Примечание: Данное сообщение является публичной офертой для заключения договора о задатке в соответствии со статьей 437 Гражданского кодекса РФ,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w:t>
      </w:r>
    </w:p>
    <w:p>
      <w:pPr>
        <w:pStyle w:val="Normal"/>
        <w:spacing w:lineRule="auto" w:line="240" w:before="0" w:after="0"/>
        <w:ind w:left="-426" w:firstLine="709"/>
        <w:jc w:val="both"/>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426" w:firstLine="709"/>
        <w:jc w:val="both"/>
        <w:rPr>
          <w:rFonts w:ascii="Times New Roman" w:hAnsi="Times New Roman" w:cs="Times New Roman"/>
          <w:sz w:val="24"/>
          <w:szCs w:val="24"/>
        </w:rPr>
      </w:pPr>
      <w:r>
        <w:rPr>
          <w:rFonts w:cs="Times New Roman" w:ascii="Times New Roman" w:hAnsi="Times New Roman"/>
          <w:sz w:val="24"/>
          <w:szCs w:val="24"/>
        </w:rPr>
        <w:t>Приложение:</w:t>
      </w:r>
    </w:p>
    <w:p>
      <w:pPr>
        <w:pStyle w:val="ListParagraph"/>
        <w:numPr>
          <w:ilvl w:val="0"/>
          <w:numId w:val="1"/>
        </w:numPr>
        <w:spacing w:lineRule="auto" w:line="240" w:before="0" w:after="0"/>
        <w:contextualSpacing/>
        <w:jc w:val="both"/>
        <w:rPr>
          <w:rFonts w:ascii="Times New Roman" w:hAnsi="Times New Roman" w:cs="Times New Roman"/>
          <w:sz w:val="24"/>
          <w:szCs w:val="24"/>
        </w:rPr>
      </w:pPr>
      <w:r>
        <w:rPr>
          <w:rFonts w:cs="Times New Roman" w:ascii="Times New Roman" w:hAnsi="Times New Roman"/>
          <w:sz w:val="24"/>
          <w:szCs w:val="24"/>
        </w:rPr>
        <w:t>Перечень движимого военного имущества, подлежащий продаже.</w:t>
      </w:r>
    </w:p>
    <w:p>
      <w:pPr>
        <w:pStyle w:val="ListParagraph"/>
        <w:numPr>
          <w:ilvl w:val="0"/>
          <w:numId w:val="1"/>
        </w:numPr>
        <w:spacing w:lineRule="auto" w:line="240" w:before="0" w:after="0"/>
        <w:contextualSpacing/>
        <w:jc w:val="both"/>
        <w:rPr>
          <w:rFonts w:ascii="Times New Roman" w:hAnsi="Times New Roman" w:cs="Times New Roman"/>
          <w:sz w:val="24"/>
          <w:szCs w:val="24"/>
        </w:rPr>
      </w:pPr>
      <w:r>
        <w:rPr>
          <w:rFonts w:cs="Times New Roman" w:ascii="Times New Roman" w:hAnsi="Times New Roman"/>
          <w:sz w:val="24"/>
          <w:szCs w:val="24"/>
        </w:rPr>
        <w:t>Проект договора купли-продажи движимого военного имущества.</w:t>
      </w:r>
    </w:p>
    <w:p>
      <w:pPr>
        <w:pStyle w:val="ListParagraph"/>
        <w:numPr>
          <w:ilvl w:val="0"/>
          <w:numId w:val="1"/>
        </w:numPr>
        <w:spacing w:lineRule="auto" w:line="240" w:before="0" w:after="0"/>
        <w:contextualSpacing/>
        <w:jc w:val="both"/>
        <w:rPr>
          <w:rFonts w:ascii="Times New Roman" w:hAnsi="Times New Roman" w:cs="Times New Roman"/>
          <w:sz w:val="24"/>
          <w:szCs w:val="24"/>
        </w:rPr>
      </w:pPr>
      <w:r>
        <w:rPr>
          <w:rFonts w:cs="Times New Roman" w:ascii="Times New Roman" w:hAnsi="Times New Roman"/>
          <w:sz w:val="24"/>
          <w:szCs w:val="24"/>
        </w:rPr>
        <w:t>Заявка на участие в продаже (рекомендуемая форма).</w:t>
      </w:r>
    </w:p>
    <w:p>
      <w:pPr>
        <w:pStyle w:val="ListParagraph"/>
        <w:numPr>
          <w:ilvl w:val="0"/>
          <w:numId w:val="1"/>
        </w:numPr>
        <w:spacing w:lineRule="auto" w:line="240" w:before="0" w:after="0"/>
        <w:contextualSpacing/>
        <w:jc w:val="both"/>
        <w:rPr>
          <w:rFonts w:ascii="Times New Roman" w:hAnsi="Times New Roman" w:cs="Times New Roman"/>
          <w:sz w:val="24"/>
          <w:szCs w:val="24"/>
        </w:rPr>
      </w:pPr>
      <w:r>
        <w:rPr>
          <w:rFonts w:cs="Times New Roman" w:ascii="Times New Roman" w:hAnsi="Times New Roman"/>
          <w:sz w:val="24"/>
          <w:szCs w:val="24"/>
        </w:rPr>
        <w:t>Предложение о цене приобретаемого высвобождаемого движимого военного имущества (рекомендуемая форма).</w:t>
      </w:r>
    </w:p>
    <w:p>
      <w:pPr>
        <w:pStyle w:val="ListParagraph"/>
        <w:spacing w:lineRule="auto" w:line="240" w:before="0" w:after="0"/>
        <w:ind w:left="643" w:hanging="0"/>
        <w:contextualSpacing/>
        <w:jc w:val="both"/>
        <w:rPr/>
      </w:pPr>
      <w:r>
        <w:rPr/>
      </w:r>
    </w:p>
    <w:sectPr>
      <w:headerReference w:type="default" r:id="rId2"/>
      <w:type w:val="nextPage"/>
      <w:pgSz w:w="11906" w:h="16838"/>
      <w:pgMar w:left="1701" w:right="850" w:header="708" w:top="851" w:footer="0" w:bottom="1134" w:gutter="0"/>
      <w:pgNumType w:fmt="decimal"/>
      <w:formProt w:val="false"/>
      <w:titlePg/>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default"/>
  </w:font>
  <w:font w:name="Tahoma">
    <w:charset w:val="01"/>
    <w:family w:val="roman"/>
    <w:pitch w:val="default"/>
  </w:font>
  <w:font w:name="Times New Roman">
    <w:charset w:val="01"/>
    <w:family w:val="roman"/>
    <w:pitch w:val="default"/>
  </w:font>
  <w:font w:name="PT Astra Serif">
    <w:charset w:val="01"/>
    <w:family w:val="roman"/>
    <w:pitch w:val="default"/>
  </w:font>
  <w:font w:name="Arial">
    <w:charset w:val="01"/>
    <w:family w:val="roman"/>
    <w:pitch w:val="default"/>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sdt>
    <w:sdtPr>
      <w:docPartObj>
        <w:docPartGallery w:val="Page Numbers (Top of Page)"/>
        <w:docPartUnique w:val="true"/>
      </w:docPartObj>
      <w:id w:val="824349578"/>
    </w:sdtPr>
    <w:sdtContent>
      <w:p>
        <w:pPr>
          <w:pStyle w:val="Style23"/>
          <w:jc w:val="right"/>
          <w:rPr/>
        </w:pPr>
        <w:r>
          <w:rPr/>
          <w:fldChar w:fldCharType="begin"/>
        </w:r>
        <w:r>
          <w:rPr/>
          <w:instrText> PAGE </w:instrText>
        </w:r>
        <w:r>
          <w:rPr/>
          <w:fldChar w:fldCharType="separate"/>
        </w:r>
        <w:r>
          <w:rPr/>
          <w:t>2</w:t>
        </w:r>
        <w:r>
          <w:rPr/>
          <w:fldChar w:fldCharType="end"/>
        </w:r>
      </w:p>
    </w:sdtContent>
  </w:sdt>
  <w:p>
    <w:pPr>
      <w:pStyle w:val="Style23"/>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ind w:left="643" w:hanging="360"/>
      </w:pPr>
    </w:lvl>
    <w:lvl w:ilvl="1">
      <w:start w:val="1"/>
      <w:numFmt w:val="lowerLetter"/>
      <w:lvlText w:val="%2."/>
      <w:lvlJc w:val="left"/>
      <w:pPr>
        <w:ind w:left="1363" w:hanging="360"/>
      </w:pPr>
    </w:lvl>
    <w:lvl w:ilvl="2">
      <w:start w:val="1"/>
      <w:numFmt w:val="lowerRoman"/>
      <w:lvlText w:val="%3."/>
      <w:lvlJc w:val="right"/>
      <w:pPr>
        <w:ind w:left="2083" w:hanging="180"/>
      </w:pPr>
    </w:lvl>
    <w:lvl w:ilvl="3">
      <w:start w:val="1"/>
      <w:numFmt w:val="decimal"/>
      <w:lvlText w:val="%4."/>
      <w:lvlJc w:val="left"/>
      <w:pPr>
        <w:ind w:left="2803" w:hanging="360"/>
      </w:pPr>
    </w:lvl>
    <w:lvl w:ilvl="4">
      <w:start w:val="1"/>
      <w:numFmt w:val="lowerLetter"/>
      <w:lvlText w:val="%5."/>
      <w:lvlJc w:val="left"/>
      <w:pPr>
        <w:ind w:left="3523" w:hanging="360"/>
      </w:pPr>
    </w:lvl>
    <w:lvl w:ilvl="5">
      <w:start w:val="1"/>
      <w:numFmt w:val="lowerRoman"/>
      <w:lvlText w:val="%6."/>
      <w:lvlJc w:val="right"/>
      <w:pPr>
        <w:ind w:left="4243" w:hanging="180"/>
      </w:pPr>
    </w:lvl>
    <w:lvl w:ilvl="6">
      <w:start w:val="1"/>
      <w:numFmt w:val="decimal"/>
      <w:lvlText w:val="%7."/>
      <w:lvlJc w:val="left"/>
      <w:pPr>
        <w:ind w:left="4963" w:hanging="360"/>
      </w:pPr>
    </w:lvl>
    <w:lvl w:ilvl="7">
      <w:start w:val="1"/>
      <w:numFmt w:val="lowerLetter"/>
      <w:lvlText w:val="%8."/>
      <w:lvlJc w:val="left"/>
      <w:pPr>
        <w:ind w:left="5683" w:hanging="360"/>
      </w:pPr>
    </w:lvl>
    <w:lvl w:ilvl="8">
      <w:start w:val="1"/>
      <w:numFmt w:val="lowerRoman"/>
      <w:lvlText w:val="%9."/>
      <w:lvlJc w:val="right"/>
      <w:pPr>
        <w:ind w:left="6403" w:hanging="180"/>
      </w:pPr>
    </w:lvl>
  </w:abstractNum>
  <w:abstractNum w:abstractNumId="2">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bering>
</file>

<file path=word/settings.xml><?xml version="1.0" encoding="utf-8"?>
<w:settings xmlns:w="http://schemas.openxmlformats.org/wordprocessingml/2006/main">
  <w:zoom w:percent="86"/>
  <w:defaultTabStop w:val="708"/>
  <w:autoHyphenation w:val="true"/>
  <w:compat>
    <w:compatSetting w:name="compatibilityMode" w:uri="http://schemas.microsoft.com/office/word" w:val="12"/>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ru-RU" w:eastAsia="en-US"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9b6f57"/>
    <w:pPr>
      <w:widowControl/>
      <w:suppressAutoHyphens w:val="true"/>
      <w:bidi w:val="0"/>
      <w:spacing w:lineRule="auto" w:line="276" w:before="0" w:after="200"/>
      <w:jc w:val="left"/>
    </w:pPr>
    <w:rPr>
      <w:rFonts w:ascii="Calibri" w:hAnsi="Calibri" w:eastAsia="Calibri" w:cs="" w:asciiTheme="minorHAnsi" w:cstheme="minorBidi" w:eastAsiaTheme="minorHAnsi" w:hAnsiTheme="minorHAnsi"/>
      <w:color w:val="auto"/>
      <w:kern w:val="0"/>
      <w:sz w:val="22"/>
      <w:szCs w:val="22"/>
      <w:lang w:val="ru-RU" w:eastAsia="en-US" w:bidi="ar-SA"/>
    </w:rPr>
  </w:style>
  <w:style w:type="character" w:styleId="DefaultParagraphFont" w:default="1">
    <w:name w:val="Default Paragraph Font"/>
    <w:uiPriority w:val="1"/>
    <w:semiHidden/>
    <w:unhideWhenUsed/>
    <w:qFormat/>
    <w:rPr/>
  </w:style>
  <w:style w:type="character" w:styleId="Style14" w:customStyle="1">
    <w:name w:val="Верхний колонтитул Знак"/>
    <w:basedOn w:val="DefaultParagraphFont"/>
    <w:uiPriority w:val="99"/>
    <w:qFormat/>
    <w:rsid w:val="00442f67"/>
    <w:rPr/>
  </w:style>
  <w:style w:type="character" w:styleId="Style15" w:customStyle="1">
    <w:name w:val="Нижний колонтитул Знак"/>
    <w:basedOn w:val="DefaultParagraphFont"/>
    <w:uiPriority w:val="99"/>
    <w:qFormat/>
    <w:rsid w:val="00442f67"/>
    <w:rPr/>
  </w:style>
  <w:style w:type="character" w:styleId="Style16" w:customStyle="1">
    <w:name w:val="Текст выноски Знак"/>
    <w:basedOn w:val="DefaultParagraphFont"/>
    <w:uiPriority w:val="99"/>
    <w:semiHidden/>
    <w:qFormat/>
    <w:rsid w:val="00a6184a"/>
    <w:rPr>
      <w:rFonts w:ascii="Tahoma" w:hAnsi="Tahoma" w:cs="Tahoma"/>
      <w:sz w:val="16"/>
      <w:szCs w:val="16"/>
    </w:rPr>
  </w:style>
  <w:style w:type="character" w:styleId="Appleconvertedspace" w:customStyle="1">
    <w:name w:val="apple-converted-space"/>
    <w:basedOn w:val="DefaultParagraphFont"/>
    <w:qFormat/>
    <w:rsid w:val="00510d77"/>
    <w:rPr/>
  </w:style>
  <w:style w:type="character" w:styleId="FontStyle13" w:customStyle="1">
    <w:name w:val="Font Style13"/>
    <w:basedOn w:val="DefaultParagraphFont"/>
    <w:qFormat/>
    <w:rPr>
      <w:rFonts w:ascii="Times New Roman" w:hAnsi="Times New Roman" w:cs="Times New Roman"/>
      <w:b/>
      <w:bCs/>
      <w:sz w:val="22"/>
      <w:szCs w:val="22"/>
    </w:rPr>
  </w:style>
  <w:style w:type="paragraph" w:styleId="Style17" w:customStyle="1">
    <w:name w:val="Заголовок"/>
    <w:basedOn w:val="Normal"/>
    <w:next w:val="Style18"/>
    <w:qFormat/>
    <w:pPr>
      <w:keepNext w:val="true"/>
      <w:spacing w:before="240" w:after="120"/>
    </w:pPr>
    <w:rPr>
      <w:rFonts w:ascii="PT Astra Serif" w:hAnsi="PT Astra Serif" w:eastAsia="Tahoma" w:cs="Noto Sans Devanagari"/>
      <w:sz w:val="28"/>
      <w:szCs w:val="28"/>
    </w:rPr>
  </w:style>
  <w:style w:type="paragraph" w:styleId="Style18">
    <w:name w:val="Body Text"/>
    <w:basedOn w:val="Normal"/>
    <w:pPr>
      <w:spacing w:before="0" w:after="140"/>
    </w:pPr>
    <w:rPr/>
  </w:style>
  <w:style w:type="paragraph" w:styleId="Style19">
    <w:name w:val="List"/>
    <w:basedOn w:val="Style18"/>
    <w:pPr/>
    <w:rPr>
      <w:rFonts w:ascii="PT Astra Serif" w:hAnsi="PT Astra Serif" w:cs="Noto Sans Devanagari"/>
    </w:rPr>
  </w:style>
  <w:style w:type="paragraph" w:styleId="Style20">
    <w:name w:val="Caption"/>
    <w:basedOn w:val="Normal"/>
    <w:qFormat/>
    <w:pPr>
      <w:suppressLineNumbers/>
      <w:spacing w:before="120" w:after="120"/>
    </w:pPr>
    <w:rPr>
      <w:rFonts w:ascii="PT Astra Serif" w:hAnsi="PT Astra Serif" w:cs="Noto Sans Devanagari"/>
      <w:i/>
      <w:iCs/>
      <w:sz w:val="24"/>
      <w:szCs w:val="24"/>
    </w:rPr>
  </w:style>
  <w:style w:type="paragraph" w:styleId="Style21">
    <w:name w:val="Указатель"/>
    <w:basedOn w:val="Normal"/>
    <w:qFormat/>
    <w:pPr>
      <w:suppressLineNumbers/>
    </w:pPr>
    <w:rPr>
      <w:rFonts w:ascii="PT Astra Serif" w:hAnsi="PT Astra Serif" w:cs="Noto Sans Devanagari"/>
    </w:rPr>
  </w:style>
  <w:style w:type="paragraph" w:styleId="Caption">
    <w:name w:val="caption"/>
    <w:basedOn w:val="Normal"/>
    <w:qFormat/>
    <w:pPr>
      <w:suppressLineNumbers/>
      <w:spacing w:before="120" w:after="120"/>
    </w:pPr>
    <w:rPr>
      <w:rFonts w:ascii="PT Astra Serif" w:hAnsi="PT Astra Serif" w:cs="Noto Sans Devanagari"/>
      <w:i/>
      <w:iCs/>
      <w:sz w:val="24"/>
      <w:szCs w:val="24"/>
    </w:rPr>
  </w:style>
  <w:style w:type="paragraph" w:styleId="Indexheading">
    <w:name w:val="index heading"/>
    <w:basedOn w:val="Normal"/>
    <w:qFormat/>
    <w:pPr>
      <w:suppressLineNumbers/>
    </w:pPr>
    <w:rPr>
      <w:rFonts w:ascii="PT Astra Serif" w:hAnsi="PT Astra Serif" w:cs="Noto Sans Devanagari"/>
    </w:rPr>
  </w:style>
  <w:style w:type="paragraph" w:styleId="ListParagraph">
    <w:name w:val="List Paragraph"/>
    <w:basedOn w:val="Normal"/>
    <w:uiPriority w:val="34"/>
    <w:qFormat/>
    <w:rsid w:val="009f7dae"/>
    <w:pPr>
      <w:spacing w:before="0" w:after="200"/>
      <w:ind w:left="720" w:hanging="0"/>
      <w:contextualSpacing/>
    </w:pPr>
    <w:rPr/>
  </w:style>
  <w:style w:type="paragraph" w:styleId="ConsPlusNormal" w:customStyle="1">
    <w:name w:val="ConsPlusNormal"/>
    <w:qFormat/>
    <w:rsid w:val="009f7dae"/>
    <w:pPr>
      <w:widowControl w:val="false"/>
      <w:suppressAutoHyphens w:val="true"/>
      <w:bidi w:val="0"/>
      <w:spacing w:before="0" w:after="0"/>
      <w:jc w:val="left"/>
    </w:pPr>
    <w:rPr>
      <w:rFonts w:ascii="Arial" w:hAnsi="Arial" w:eastAsia="" w:cs="Arial" w:eastAsiaTheme="minorEastAsia"/>
      <w:color w:val="auto"/>
      <w:kern w:val="0"/>
      <w:sz w:val="22"/>
      <w:szCs w:val="20"/>
      <w:lang w:val="ru-RU" w:eastAsia="ru-RU" w:bidi="ar-SA"/>
    </w:rPr>
  </w:style>
  <w:style w:type="paragraph" w:styleId="Style22" w:customStyle="1">
    <w:name w:val="Верхний и нижний колонтитулы"/>
    <w:basedOn w:val="Normal"/>
    <w:qFormat/>
    <w:pPr/>
    <w:rPr/>
  </w:style>
  <w:style w:type="paragraph" w:styleId="Style23">
    <w:name w:val="Header"/>
    <w:basedOn w:val="Normal"/>
    <w:uiPriority w:val="99"/>
    <w:unhideWhenUsed/>
    <w:rsid w:val="00442f67"/>
    <w:pPr>
      <w:tabs>
        <w:tab w:val="clear" w:pos="708"/>
        <w:tab w:val="center" w:pos="4677" w:leader="none"/>
        <w:tab w:val="right" w:pos="9355" w:leader="none"/>
      </w:tabs>
      <w:spacing w:lineRule="auto" w:line="240" w:before="0" w:after="0"/>
    </w:pPr>
    <w:rPr/>
  </w:style>
  <w:style w:type="paragraph" w:styleId="Style24">
    <w:name w:val="Footer"/>
    <w:basedOn w:val="Normal"/>
    <w:uiPriority w:val="99"/>
    <w:unhideWhenUsed/>
    <w:rsid w:val="00442f67"/>
    <w:pPr>
      <w:tabs>
        <w:tab w:val="clear" w:pos="708"/>
        <w:tab w:val="center" w:pos="4677" w:leader="none"/>
        <w:tab w:val="right" w:pos="9355" w:leader="none"/>
      </w:tabs>
      <w:spacing w:lineRule="auto" w:line="240" w:before="0" w:after="0"/>
    </w:pPr>
    <w:rPr/>
  </w:style>
  <w:style w:type="paragraph" w:styleId="BalloonText">
    <w:name w:val="Balloon Text"/>
    <w:basedOn w:val="Normal"/>
    <w:uiPriority w:val="99"/>
    <w:semiHidden/>
    <w:unhideWhenUsed/>
    <w:qFormat/>
    <w:rsid w:val="00a6184a"/>
    <w:pPr>
      <w:spacing w:lineRule="auto" w:line="240" w:before="0" w:after="0"/>
    </w:pPr>
    <w:rPr>
      <w:rFonts w:ascii="Tahoma" w:hAnsi="Tahoma" w:cs="Tahoma"/>
      <w:sz w:val="16"/>
      <w:szCs w:val="16"/>
    </w:rPr>
  </w:style>
  <w:style w:type="numbering" w:styleId="NoList" w:default="1">
    <w:name w:val="No List"/>
    <w:uiPriority w:val="99"/>
    <w:semiHidden/>
    <w:unhideWhenUsed/>
    <w:qFormat/>
  </w:style>
  <w:style w:type="table" w:default="1" w:styleId="a1">
    <w:name w:val="Normal Table"/>
    <w:uiPriority w:val="99"/>
    <w:semiHidden/>
    <w:unhideWhenUsed/>
    <w:tblPr>
      <w:tblInd w:w="0" w:type="dxa"/>
      <w:tblCellMar>
        <w:top w:w="0" w:type="dxa"/>
        <w:left w:w="108" w:type="dxa"/>
        <w:bottom w:w="0" w:type="dxa"/>
        <w:right w:w="108" w:type="dxa"/>
      </w:tblCellMar>
    </w:tblPr>
  </w:style>
  <w:style w:type="table" w:styleId="af0">
    <w:name w:val="Table Grid"/>
    <w:basedOn w:val="a1"/>
    <w:uiPriority w:val="59"/>
    <w:rsid w:val="009f7dae"/>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Relationship Id="rId7" Type="http://schemas.openxmlformats.org/officeDocument/2006/relationships/customXml" Target="../customXml/item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B3138E-C525-4F01-8DD6-A85FA22BAA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353</TotalTime>
  <Application>LibreOffice/6.4.4.2$Linux_X86_64 LibreOffice_project/40$Build-2</Application>
  <Pages>4</Pages>
  <Words>878</Words>
  <Characters>6189</Characters>
  <CharactersWithSpaces>6998</CharactersWithSpaces>
  <Paragraphs>77</Paragraphs>
  <Company>Microsoft</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2019-07-31T08:30:00Z</dcterms:created>
  <dc:creator>Подуздов Юрий Александрович</dc:creator>
  <dc:description/>
  <dc:language>ru-RU</dc:language>
  <cp:lastModifiedBy/>
  <cp:lastPrinted>2021-09-27T16:06:50Z</cp:lastPrinted>
  <dcterms:modified xsi:type="dcterms:W3CDTF">2021-09-27T16:06:54Z</dcterms:modified>
  <cp:revision>72</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